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631753" w:rsidRPr="00631753">
        <w:rPr>
          <w:rFonts w:ascii="Calibri Bold" w:hAnsi="Calibri Bold" w:cs="Calibri Bold"/>
          <w:b/>
          <w:bCs/>
          <w:sz w:val="32"/>
          <w:szCs w:val="32"/>
        </w:rPr>
        <w:t>145738/27-1-2015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354CBC">
            <w:pPr>
              <w:autoSpaceDE w:val="0"/>
              <w:autoSpaceDN w:val="0"/>
              <w:adjustRightInd w:val="0"/>
              <w:rPr>
                <w:rFonts w:ascii="Times New Roman" w:hAnsi="Times New Roman" w:cs="Times New Roman"/>
              </w:rPr>
            </w:pPr>
            <w:r>
              <w:rPr>
                <w:rFonts w:ascii="Times New Roman" w:hAnsi="Times New Roman" w:cs="Times New Roman"/>
              </w:rPr>
              <w:t>4.3. Κατά την ένταξη των έργων στον ΕΣ</w:t>
            </w:r>
            <w:r w:rsidR="00354CBC">
              <w:rPr>
                <w:rFonts w:ascii="Times New Roman" w:hAnsi="Times New Roman" w:cs="Times New Roman"/>
              </w:rPr>
              <w:t xml:space="preserve"> 3.7.1</w:t>
            </w:r>
            <w:bookmarkStart w:id="0" w:name="_GoBack"/>
            <w:bookmarkEnd w:id="0"/>
            <w:r>
              <w:rPr>
                <w:rFonts w:ascii="Times New Roman" w:hAnsi="Times New Roman" w:cs="Times New Roman"/>
              </w:rPr>
              <w:t xml:space="preserve">,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A6B56"/>
    <w:rsid w:val="0028068E"/>
    <w:rsid w:val="00354CBC"/>
    <w:rsid w:val="00395B65"/>
    <w:rsid w:val="00506587"/>
    <w:rsid w:val="0054300F"/>
    <w:rsid w:val="005F7A3E"/>
    <w:rsid w:val="00631753"/>
    <w:rsid w:val="00665FB7"/>
    <w:rsid w:val="007335CE"/>
    <w:rsid w:val="0077040F"/>
    <w:rsid w:val="00822F6F"/>
    <w:rsid w:val="00890A1D"/>
    <w:rsid w:val="008E3700"/>
    <w:rsid w:val="00A66DAE"/>
    <w:rsid w:val="00A9345F"/>
    <w:rsid w:val="00A956D0"/>
    <w:rsid w:val="00AF5B2A"/>
    <w:rsid w:val="00B51327"/>
    <w:rsid w:val="00C55757"/>
    <w:rsid w:val="00DC2FCA"/>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1250</Words>
  <Characters>6756</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g1</cp:lastModifiedBy>
  <cp:revision>12</cp:revision>
  <cp:lastPrinted>2016-09-13T09:11:00Z</cp:lastPrinted>
  <dcterms:created xsi:type="dcterms:W3CDTF">2016-09-13T07:17:00Z</dcterms:created>
  <dcterms:modified xsi:type="dcterms:W3CDTF">2021-07-28T09:46:00Z</dcterms:modified>
</cp:coreProperties>
</file>